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94" w:rsidRDefault="00595E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5E94" w:rsidRDefault="00595E94">
      <w:pPr>
        <w:pStyle w:val="ConsPlusNormal"/>
        <w:outlineLvl w:val="0"/>
      </w:pPr>
    </w:p>
    <w:p w:rsidR="00595E94" w:rsidRDefault="00595E94">
      <w:pPr>
        <w:pStyle w:val="ConsPlusTitle"/>
        <w:jc w:val="center"/>
        <w:outlineLvl w:val="0"/>
      </w:pPr>
      <w:r>
        <w:t>ДУМА СОСЬВИНСКОГО ГОРОДСКОГО ОКРУГА</w:t>
      </w:r>
    </w:p>
    <w:p w:rsidR="00595E94" w:rsidRDefault="00595E94">
      <w:pPr>
        <w:pStyle w:val="ConsPlusTitle"/>
        <w:jc w:val="center"/>
      </w:pPr>
      <w:r>
        <w:t>ПЯТЫЙ СОЗЫВ</w:t>
      </w:r>
    </w:p>
    <w:p w:rsidR="00595E94" w:rsidRDefault="00595E94">
      <w:pPr>
        <w:pStyle w:val="ConsPlusTitle"/>
        <w:jc w:val="center"/>
      </w:pPr>
      <w:r>
        <w:t>Пятое заседание</w:t>
      </w:r>
    </w:p>
    <w:p w:rsidR="00595E94" w:rsidRDefault="00595E94">
      <w:pPr>
        <w:pStyle w:val="ConsPlusTitle"/>
        <w:jc w:val="center"/>
      </w:pPr>
    </w:p>
    <w:p w:rsidR="00595E94" w:rsidRDefault="00595E94">
      <w:pPr>
        <w:pStyle w:val="ConsPlusTitle"/>
        <w:jc w:val="center"/>
      </w:pPr>
      <w:r>
        <w:t>РЕШЕНИЕ</w:t>
      </w:r>
    </w:p>
    <w:p w:rsidR="00595E94" w:rsidRDefault="00595E94">
      <w:pPr>
        <w:pStyle w:val="ConsPlusTitle"/>
        <w:jc w:val="center"/>
      </w:pPr>
      <w:r>
        <w:t>от 23 августа 2012 г. N 56</w:t>
      </w:r>
    </w:p>
    <w:p w:rsidR="00595E94" w:rsidRDefault="00595E94">
      <w:pPr>
        <w:pStyle w:val="ConsPlusTitle"/>
        <w:jc w:val="center"/>
      </w:pPr>
    </w:p>
    <w:p w:rsidR="00595E94" w:rsidRDefault="00595E94">
      <w:pPr>
        <w:pStyle w:val="ConsPlusTitle"/>
        <w:jc w:val="center"/>
      </w:pPr>
      <w:r>
        <w:t>ОБ УТВЕРЖДЕНИИ ПОЛОЖЕНИЯ "О ПЕРЕДАЧЕ В АРЕНДУ ОБЪЕКТОВ</w:t>
      </w:r>
    </w:p>
    <w:p w:rsidR="00595E94" w:rsidRDefault="00595E94">
      <w:pPr>
        <w:pStyle w:val="ConsPlusTitle"/>
        <w:jc w:val="center"/>
      </w:pPr>
      <w:r>
        <w:t xml:space="preserve">МУНИЦИПАЛЬНОГО НЕЖИЛОГО ФОНДА, </w:t>
      </w:r>
      <w:proofErr w:type="gramStart"/>
      <w:r>
        <w:t>НАХОДЯЩИХСЯ</w:t>
      </w:r>
      <w:proofErr w:type="gramEnd"/>
      <w:r>
        <w:t xml:space="preserve"> В СОБСТВЕННОСТИ</w:t>
      </w:r>
    </w:p>
    <w:p w:rsidR="00595E94" w:rsidRDefault="00595E94">
      <w:pPr>
        <w:pStyle w:val="ConsPlusTitle"/>
        <w:jc w:val="center"/>
      </w:pPr>
      <w:r>
        <w:t>СОСЬВИНСКОГО ГОРОДСКОГО ОКРУГА"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 xml:space="preserve">В целях приведения нормативного акта местного самоуправления Сосьвинского городского округа в соответствие с действующим законодательством Российской Федерации, руководствуясь </w:t>
      </w:r>
      <w:hyperlink r:id="rId5" w:history="1">
        <w:r>
          <w:rPr>
            <w:color w:val="0000FF"/>
          </w:rPr>
          <w:t>статьями 22</w:t>
        </w:r>
      </w:hyperlink>
      <w:r>
        <w:t xml:space="preserve">, </w:t>
      </w:r>
      <w:hyperlink r:id="rId6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Дума Сосьвинского городского округа решила: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"О передаче в аренду объектов муниципального нежилого фонда находящихся в собственности Сосьвинского городского округа" (прилагается).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Решение</w:t>
        </w:r>
      </w:hyperlink>
      <w:r>
        <w:t xml:space="preserve"> Думы Сосьвинского городского округа от 13.05.2010 N 356 "О передаче в аренду объектов муниципального нежилого фонда находящихся в собственности Сосьвинского городского округа" (в редакции Решений Думы Сосьвинского городского округа от 16.06.2011 </w:t>
      </w:r>
      <w:hyperlink r:id="rId8" w:history="1">
        <w:r>
          <w:rPr>
            <w:color w:val="0000FF"/>
          </w:rPr>
          <w:t>N 538</w:t>
        </w:r>
      </w:hyperlink>
      <w:r>
        <w:t xml:space="preserve">, от 19.09.2011 </w:t>
      </w:r>
      <w:hyperlink r:id="rId9" w:history="1">
        <w:r>
          <w:rPr>
            <w:color w:val="0000FF"/>
          </w:rPr>
          <w:t>N 579</w:t>
        </w:r>
      </w:hyperlink>
      <w:r>
        <w:t xml:space="preserve">, от 02.02.2012 </w:t>
      </w:r>
      <w:hyperlink r:id="rId10" w:history="1">
        <w:r>
          <w:rPr>
            <w:color w:val="0000FF"/>
          </w:rPr>
          <w:t>N 649</w:t>
        </w:r>
      </w:hyperlink>
      <w:r>
        <w:t>).</w:t>
      </w:r>
    </w:p>
    <w:p w:rsidR="00595E94" w:rsidRDefault="00595E94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3. </w:t>
      </w:r>
      <w:hyperlink w:anchor="P90" w:history="1">
        <w:r>
          <w:rPr>
            <w:color w:val="0000FF"/>
          </w:rPr>
          <w:t>Раздел 4</w:t>
        </w:r>
      </w:hyperlink>
      <w:r>
        <w:t xml:space="preserve"> Положения "О передаче в аренду объектов муниципального нежилого фонда находящихся в собственности Сосьвинского городского округа" применяется к договорам аренды, заключенным после вступления настоящего Решения в законную силу. К договорам аренды, заключенным до вступления в законную силу настоящего Решения </w:t>
      </w:r>
      <w:hyperlink w:anchor="P90" w:history="1">
        <w:r>
          <w:rPr>
            <w:color w:val="0000FF"/>
          </w:rPr>
          <w:t>раздел 4</w:t>
        </w:r>
      </w:hyperlink>
      <w:r>
        <w:t xml:space="preserve"> Положения "О передаче в аренду объектов муниципального нежилого фонда находящихся в собственности Сосьвинского городского округа" применяется с 01.01.2013.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4. Опубликовать настоящее Решение в приложении к газете "Сосьвинские вести" - "Муниципальный вестник".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5. Контроль исполнения настоящего Решения возложить на постоянную депутатскую комиссию Думы Сосьвинского городского округа по экономике, бюджету, финансам, налогам и использованию природных ресурсов (П.Е. Пикалов).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jc w:val="right"/>
      </w:pPr>
      <w:r>
        <w:t>Глава</w:t>
      </w:r>
    </w:p>
    <w:p w:rsidR="00595E94" w:rsidRDefault="00595E94">
      <w:pPr>
        <w:pStyle w:val="ConsPlusNormal"/>
        <w:jc w:val="right"/>
      </w:pPr>
      <w:r>
        <w:t>Сосьвинского городского округа</w:t>
      </w:r>
    </w:p>
    <w:p w:rsidR="00595E94" w:rsidRDefault="00595E94">
      <w:pPr>
        <w:pStyle w:val="ConsPlusNormal"/>
        <w:jc w:val="right"/>
      </w:pPr>
      <w:r>
        <w:t>А.А.САФОНОВ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</w:pPr>
    </w:p>
    <w:p w:rsidR="00595E94" w:rsidRDefault="00595E94">
      <w:pPr>
        <w:pStyle w:val="ConsPlusNormal"/>
      </w:pPr>
    </w:p>
    <w:p w:rsidR="00595E94" w:rsidRDefault="00595E94">
      <w:pPr>
        <w:pStyle w:val="ConsPlusNormal"/>
      </w:pPr>
    </w:p>
    <w:p w:rsidR="00595E94" w:rsidRDefault="00595E94">
      <w:pPr>
        <w:pStyle w:val="ConsPlusNormal"/>
      </w:pPr>
    </w:p>
    <w:p w:rsidR="00595E94" w:rsidRDefault="00595E94">
      <w:pPr>
        <w:pStyle w:val="ConsPlusNormal"/>
        <w:jc w:val="right"/>
        <w:outlineLvl w:val="0"/>
      </w:pPr>
      <w:r>
        <w:t>Утверждено</w:t>
      </w:r>
    </w:p>
    <w:p w:rsidR="00595E94" w:rsidRDefault="00595E94">
      <w:pPr>
        <w:pStyle w:val="ConsPlusNormal"/>
        <w:jc w:val="right"/>
      </w:pPr>
      <w:r>
        <w:t>Решением Думы</w:t>
      </w:r>
    </w:p>
    <w:p w:rsidR="00595E94" w:rsidRDefault="00595E94">
      <w:pPr>
        <w:pStyle w:val="ConsPlusNormal"/>
        <w:jc w:val="right"/>
      </w:pPr>
      <w:r>
        <w:t>Сосьвинского городского округа</w:t>
      </w:r>
    </w:p>
    <w:p w:rsidR="00595E94" w:rsidRDefault="00595E94">
      <w:pPr>
        <w:pStyle w:val="ConsPlusNormal"/>
        <w:jc w:val="right"/>
      </w:pPr>
      <w:r>
        <w:t>от 23 августа 2012 г. N 56</w:t>
      </w:r>
    </w:p>
    <w:p w:rsidR="00595E94" w:rsidRDefault="00595E94">
      <w:pPr>
        <w:pStyle w:val="ConsPlusNormal"/>
      </w:pPr>
    </w:p>
    <w:bookmarkStart w:id="1" w:name="P32"/>
    <w:bookmarkEnd w:id="1"/>
    <w:p w:rsidR="00595E94" w:rsidRDefault="00595E94">
      <w:pPr>
        <w:pStyle w:val="ConsPlusTitle"/>
        <w:jc w:val="center"/>
      </w:pPr>
      <w:r>
        <w:fldChar w:fldCharType="begin"/>
      </w:r>
      <w:r>
        <w:instrText>HYPERLINK "consultantplus://offline/ref=1517E615C60418B52C9EAFD760ECBF3BCD2124919C8E2F75B7250C6AE6EEC54B283FB67A9F5ABA9812A79A147FDD25E25C5781BDD4CF8367YCDFM"</w:instrText>
      </w:r>
      <w:r>
        <w:fldChar w:fldCharType="separate"/>
      </w:r>
      <w:r>
        <w:rPr>
          <w:color w:val="0000FF"/>
        </w:rPr>
        <w:t>ПОЛОЖЕНИЕ</w:t>
      </w:r>
      <w:r>
        <w:fldChar w:fldCharType="end"/>
      </w:r>
    </w:p>
    <w:p w:rsidR="00595E94" w:rsidRDefault="00595E94">
      <w:pPr>
        <w:pStyle w:val="ConsPlusTitle"/>
        <w:jc w:val="center"/>
      </w:pPr>
      <w:r>
        <w:lastRenderedPageBreak/>
        <w:t xml:space="preserve">О </w:t>
      </w:r>
      <w:hyperlink r:id="rId11" w:history="1">
        <w:r>
          <w:rPr>
            <w:color w:val="0000FF"/>
          </w:rPr>
          <w:t>ПЕРЕДАЧЕ</w:t>
        </w:r>
      </w:hyperlink>
      <w:r>
        <w:t xml:space="preserve"> В </w:t>
      </w:r>
      <w:hyperlink r:id="rId12" w:history="1">
        <w:r>
          <w:rPr>
            <w:color w:val="0000FF"/>
          </w:rPr>
          <w:t>АРЕНДУ</w:t>
        </w:r>
      </w:hyperlink>
      <w:r>
        <w:t xml:space="preserve"> ОБЪЕКТОВ </w:t>
      </w:r>
      <w:proofErr w:type="gramStart"/>
      <w:r>
        <w:t>МУНИЦИПАЛЬНОГО</w:t>
      </w:r>
      <w:proofErr w:type="gramEnd"/>
    </w:p>
    <w:p w:rsidR="00595E94" w:rsidRDefault="00595E94">
      <w:pPr>
        <w:pStyle w:val="ConsPlusTitle"/>
        <w:jc w:val="center"/>
      </w:pPr>
      <w:r>
        <w:t>НЕЖИЛОГО ФОНДА СОСЬВИНСКОГО ГОРОДСКОГО ОКРУГА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jc w:val="center"/>
        <w:outlineLvl w:val="1"/>
      </w:pPr>
      <w:r>
        <w:t>I. ОБЩИЕ ПОЛОЖЕНИЯ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 "О передаче в аренду объектов муниципального нежилого фонда Сосьвинского городского округа" (далее - Положение) определяет основные принципы, порядок и единые правила передачи в аренду объектов муниципального нежилого фонда (отдельно стоящих зданий, сооружений, строений, а также частей зданий, сооружений, строений в виде встроенных и пристроенных нежилых помещений), помещений, находящихся в собственности Сосьвинского городского округа, обязательные для исполнения всеми расположенными на территории</w:t>
      </w:r>
      <w:proofErr w:type="gramEnd"/>
      <w:r>
        <w:t xml:space="preserve"> городского округа организациями, независимо от их организационно-правовых форм, физическими лицами, а также органами и должностными лицами местного самоуправления.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2. Арендодателем объектов муниципального нежилого фонда городского округа (далее по тексту - Объектов) находящегося в казне городского округа является муниципальное образование Сосьвинский городской округ, в лице Отраслевого (функционального) органа администрации Сосьвинского городского округа "Комитет по управлению муниципальным имуществом" (далее - КУМИ Сосьвинского городского округа). Арендаторами Объектов могут выступать физические и юридические лица, индивидуальные предприниматели, зарегистрированные в установленном порядке действующим законодательством.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 xml:space="preserve">3. Объекты передаются в аренду по результатам конкурсов и аукционов по продаже права аренды, за исключением случаев, указанных в </w:t>
      </w:r>
      <w:hyperlink r:id="rId13" w:history="1">
        <w:r>
          <w:rPr>
            <w:color w:val="0000FF"/>
          </w:rPr>
          <w:t>статье 17.1</w:t>
        </w:r>
      </w:hyperlink>
      <w:r>
        <w:t xml:space="preserve"> Федерального закона от 26.07.2007 N 135-ФЗ "О защите конкуренции". Оформление договоров аренды осуществляет КУМИ Сосьвинского городского округа.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Заключенный договор аренды является основанием для заключения арендатором договоров об оказании коммунальных и эксплуатационных услуг, услуг по содержанию Объекта и прилегающей к нему территории с организацией, ответственной за эксплуатацию и обслуживание Объекта (далее по тексту - ответственная обслуживающая организация), а также иными эксплуатационными организациями.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4. Организатором конкурсов и аукционов по продаже права аренды на Объекты выступает Единая комиссия по проведению конкурсов и аукционов по продаже права аренды, безвозмездного пользования на объекты муниципальной собственности Сосьвинского городского округа и проведения конкурсов и аукционов по продаже объектов муниципальной собственности Сосьвинского городского округа в лице ее председателя (далее - Комиссия).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5. Основаниями для передачи в аренду Объекта являются: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 xml:space="preserve">1) распоряжение администрации Сосьвинского городского округа, в случаях, предусмотренных </w:t>
      </w:r>
      <w:hyperlink r:id="rId14" w:history="1">
        <w:r>
          <w:rPr>
            <w:color w:val="0000FF"/>
          </w:rPr>
          <w:t>статьей 17.1</w:t>
        </w:r>
      </w:hyperlink>
      <w:r>
        <w:t xml:space="preserve"> Федерального закона от 26.07.2007 N 135-ФЗ "О защите конкуренции";</w:t>
      </w:r>
    </w:p>
    <w:p w:rsidR="00595E94" w:rsidRDefault="00595E94">
      <w:pPr>
        <w:pStyle w:val="ConsPlusNormal"/>
        <w:spacing w:before="220"/>
        <w:ind w:firstLine="540"/>
        <w:jc w:val="both"/>
      </w:pPr>
      <w:proofErr w:type="gramStart"/>
      <w:r>
        <w:t xml:space="preserve">2) результаты торгов (аукционов и конкурсов), проведенных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>
        <w:t xml:space="preserve"> торгов в форме конкурса" (вместе с "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 (далее - Приказ ФАС N 67 от </w:t>
      </w:r>
      <w:r>
        <w:lastRenderedPageBreak/>
        <w:t>10.02.2010).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6. Договор, заключенный на срок не менее года, подлежит государственной регистрации и считается заключенным с момента такой регистрации.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Регистрация Договора аренды и оплата государственной пошлины проводится Арендатором в течение 30 календарных дней с момента подписания договора аренды Объекта. В период с момента фактической передачи Объекта и до момента государственной регистрации риск случайной гибели или повреждения Объекта несет Арендатор.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jc w:val="center"/>
        <w:outlineLvl w:val="1"/>
      </w:pPr>
      <w:r>
        <w:t>II. ОСНОВАНИЯ ЗАКЛЮЧЕНИЯ ДОГОВОРА АРЕНДЫ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bookmarkStart w:id="2" w:name="P51"/>
      <w:bookmarkEnd w:id="2"/>
      <w:r>
        <w:t xml:space="preserve">1. Заключение договора аренды Объекта на основании распоряжения администрации Сосьвинского городского округа, в случаях установленных </w:t>
      </w:r>
      <w:hyperlink r:id="rId17" w:history="1">
        <w:r>
          <w:rPr>
            <w:color w:val="0000FF"/>
          </w:rPr>
          <w:t>статьей 17.1</w:t>
        </w:r>
      </w:hyperlink>
      <w:r>
        <w:t xml:space="preserve"> Федерального закона от 26.07.2007 N 135-ФЗ "О защите конкуренции".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 xml:space="preserve">Заинтересованное лицо для заключения договора аренды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- заявление в произвольной форме;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для индивидуальных предпринимателей: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индивидуальных предпринимателей;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- копия документа, удостоверяющего личность;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- доверенность (в случае подачи заявки представителем заявителя);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для юридических лиц: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- выписка из государственного реестра юридических лиц;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- копии учредительных документов юридического лица;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- выписку из протокола (приказа) соответствующего органа управления о выборе (назначении) руководителя, имеющего право действовать от имени юридического лица без доверенности, заверенную печатью заявителя;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- выписку из протокола (приказа) соответствующего органа управления о совершении сделки, заверенную печатью заявителя;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- доверенность (в случае подачи заявки представителем заявителя).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КУМИ Сосьвинского городского округа готовит проект распоряжения администрации Сосьвинского городского округа о предоставлении Объекта в аренду.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На основании принятого распоряжения администрации Сосьвинского городского округа КУМИ Сосьвинского городского округа готовит проект договора аренды Объекта.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Причины отказа в предоставлении Объекта в аренду: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1) объект должен быть предоставлен в аренду только на основании торгов;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 xml:space="preserve">2) не предоставление заявителем документов, указанных в </w:t>
      </w:r>
      <w:hyperlink w:anchor="P51" w:history="1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lastRenderedPageBreak/>
        <w:t>2. Предоставление Объекта по результатам торгов.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КУМИ Сосьвинского городского округа готовит проект постановления администрации Сосьвинского городского округа о проведении торгов на право аренды муниципального имущества Сосьвинского городского округа.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 xml:space="preserve">Порядок проведения конкурсов или аукционов на право заключения договоров аренды муниципального имущества определен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ФАС N 67.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 xml:space="preserve">Начальная (минимальная) цена договора аренды муниципального имущества определяется в соответствии с </w:t>
      </w:r>
      <w:hyperlink w:anchor="P90" w:history="1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jc w:val="center"/>
        <w:outlineLvl w:val="1"/>
      </w:pPr>
      <w:r>
        <w:t>III. ДОГОВОР АРЕНДЫ. ПЕРЕДАЧА ОБЪЕКТА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>1. Объект сдается в аренду на срок, установленный договором аренды в соответствии с действующим законодательством.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2. В договоре аренды объекта отражаются: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- данные, позволяющие индивидуализировать имущество, подлежащее передаче арендатору в качестве объекта временного пользования;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- порядок, условия и сроки внесения арендной платы;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- условия временного пользования Объектом, определяемые в соответствии с назначением последнего (указание вида деятельности, осуществляемого арендатором на Объекте, предоставленном в аренду) в том числе за техническое обслуживание объекта и содержание придомовой территории;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- обязательства арендатора по проведению ремонта Объекта и его сроки;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- обязательства арендатора по своевременному возврату Объекта;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 xml:space="preserve">- санкции, применяемые сторонами в случае </w:t>
      </w:r>
      <w:proofErr w:type="gramStart"/>
      <w:r>
        <w:t>невыполнения условий договора аренды Объекта</w:t>
      </w:r>
      <w:proofErr w:type="gramEnd"/>
      <w:r>
        <w:t>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- порядок досрочного расторжения договора аренды;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- порядок пересмотра арендной платы.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3. Передача недвижимого имущества в аренду осуществляется по акту приема-передачи.</w:t>
      </w:r>
    </w:p>
    <w:p w:rsidR="00595E94" w:rsidRDefault="00595E9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5E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5E94" w:rsidRDefault="00595E94">
            <w:pPr>
              <w:pStyle w:val="ConsPlusNormal"/>
              <w:jc w:val="both"/>
            </w:pPr>
            <w:r>
              <w:rPr>
                <w:color w:val="392C69"/>
              </w:rPr>
              <w:t>Раздел 4 применяется к договорам аренды, заключенным до вступления в силу данного документа, с 1 января 2013 года (</w:t>
            </w:r>
            <w:hyperlink w:anchor="P15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95E94" w:rsidRDefault="00595E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5E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5E94" w:rsidRDefault="00595E94">
            <w:pPr>
              <w:pStyle w:val="ConsPlusNormal"/>
              <w:jc w:val="both"/>
            </w:pPr>
            <w:r>
              <w:rPr>
                <w:color w:val="392C69"/>
              </w:rPr>
              <w:t>Раздел 4 применяется к договорам аренды, заключенным после вступления в силу данного документа (</w:t>
            </w:r>
            <w:hyperlink w:anchor="P15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95E94" w:rsidRDefault="00595E94">
      <w:pPr>
        <w:pStyle w:val="ConsPlusNormal"/>
        <w:spacing w:before="280"/>
        <w:jc w:val="center"/>
        <w:outlineLvl w:val="1"/>
      </w:pPr>
      <w:bookmarkStart w:id="3" w:name="P90"/>
      <w:bookmarkEnd w:id="3"/>
      <w:r>
        <w:t>IV. ПОРЯДОК ОПРЕДЕЛЕНИЯ РАЗМЕРА АРЕНДНОЙ ПЛАТЫ</w:t>
      </w:r>
    </w:p>
    <w:p w:rsidR="00595E94" w:rsidRDefault="00595E94">
      <w:pPr>
        <w:pStyle w:val="ConsPlusNormal"/>
        <w:jc w:val="center"/>
      </w:pPr>
      <w:r>
        <w:t>И РАСЧЕТОВ ПО ДОГОВОРУ АРЕНДЫ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>1. Арендная плата за переданный в аренду Объект рассчитывается по формуле с применением утвержденной, на момент заключения договора годовой базовой ставки арендной платы за один квадратный метр площади Объекта в год и корректировочных коэффициентов.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lastRenderedPageBreak/>
        <w:t>Размер базовой ставки арендной платы за один квадратный метр площади Объекта в год устанавливается решением Думы городского округа на начало каждого года.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 xml:space="preserve">Корректировочные </w:t>
      </w:r>
      <w:hyperlink w:anchor="P139" w:history="1">
        <w:r>
          <w:rPr>
            <w:color w:val="0000FF"/>
          </w:rPr>
          <w:t>коэффициенты</w:t>
        </w:r>
      </w:hyperlink>
      <w:r>
        <w:t xml:space="preserve"> согласно Приложению N 1 к настоящему Положению.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Арендная плата рассчитывается по формуле: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jc w:val="center"/>
      </w:pPr>
      <w:r>
        <w:t>АП = S x БС x К</w:t>
      </w:r>
      <w:proofErr w:type="gramStart"/>
      <w:r>
        <w:t>1</w:t>
      </w:r>
      <w:proofErr w:type="gramEnd"/>
      <w:r>
        <w:t xml:space="preserve"> x К2 x К3 x К4 x К5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>2. Размер арендной платы может быть изменен в порядке, предусмотренном действующим законодательством, настоящим Положением и договором аренды не чаще одного раза в календарный год.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Изменения размера арендной платы в связи с изменением базовой ставки или корректировочных коэффициентов являются обязательными для сторон с подписанием дополнительного соглашения к договору.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jc w:val="center"/>
        <w:outlineLvl w:val="1"/>
      </w:pPr>
      <w:r>
        <w:t xml:space="preserve">V. УЧЕТ И </w:t>
      </w:r>
      <w:proofErr w:type="gramStart"/>
      <w:r>
        <w:t>КОНТРОЛЬ ЗА</w:t>
      </w:r>
      <w:proofErr w:type="gramEnd"/>
      <w:r>
        <w:t xml:space="preserve"> ИСПОЛЬЗОВАНИЕМ,</w:t>
      </w:r>
    </w:p>
    <w:p w:rsidR="00595E94" w:rsidRDefault="00595E94">
      <w:pPr>
        <w:pStyle w:val="ConsPlusNormal"/>
        <w:jc w:val="center"/>
      </w:pPr>
      <w:r>
        <w:t>ПЕРЕДАННЫХ В АРЕНДУ ОБЪЕКТОВ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Контроль, за</w:t>
      </w:r>
      <w:proofErr w:type="gramEnd"/>
      <w:r>
        <w:t xml:space="preserve"> использованием переданных в аренду Объектов осуществляет КУМИ Сосьвинского городского округа.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2. КУМИ Сосьвинского городского округа на основании распоряжений КУМИ Сосьвинского городского округа проводит плановые и неплановые проверки сохранности и использования муниципального имущества, переданного по договорам аренды.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3. Все изменения характеристик Объектов, связанные с их арендой, учитываются в реестре муниципальной собственности городского округа, на основании данных, предоставляемых арендаторами и Бюро технической инвентаризации.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4. В случае несоблюдения арендаторами условий договоров аренды, требований настоящего Положения и действующего законодательства, КУМИ Сосьвинского городского округа предпринимает все дозволенные законодательством, настоящим Положением и договором аренды меры воздействия на недобросовестных арендаторов, включая обращение в Арбитражный суд по месту нахождения ответчика, суд общей юрисдикции с требованием о досрочном расторжении договора.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jc w:val="center"/>
        <w:outlineLvl w:val="1"/>
      </w:pPr>
      <w:r>
        <w:t>VI. ПОРЯДОК ПОЛУЧЕНИЯ СОГЛАСИЯ НА ПЕРЕДАЧУ</w:t>
      </w:r>
    </w:p>
    <w:p w:rsidR="00595E94" w:rsidRDefault="00595E94">
      <w:pPr>
        <w:pStyle w:val="ConsPlusNormal"/>
        <w:jc w:val="center"/>
      </w:pPr>
      <w:r>
        <w:t>ОБЪЕКТА (ЧАСТИ ОБЪЕКТА) В СУБАРЕНДУ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>1. Арендатор вправе заключить договор субаренды объекта (части объекта) после получения согласия КУМИ Сосьвинского городского округа и с соблюдением требований законодательства о защите конкуренции.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2. Заявка на получение согласия на передачу объекта (части объекта) в субаренду (далее - заявка на субаренду) оформляется арендатором и представляется в КУМИ Сосьвинского городского округа с обязательным приложением следующих документов: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а) копия уставных документов субарендатора (свидетельство о государственной регистрации, Устав, учредительный договор);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б) справка от арендатора об отсутствии задолженности по арендной плате;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в) план размещения субарендатора в арендуемом Объекте;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lastRenderedPageBreak/>
        <w:t>г) заявлением о намерениях использования субарендатором Объекта.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Заявка, без приложения обязательных документов, рассмотрению не подлежит.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3. КУМИ Сосьвинского городского округа рассматривает заявку на субаренду, принимает решение о согласии или об отказе в согласии на передачу объекта (части объекта) в субаренду и письменно уведомляет об этом арендатора в течение 15 рабочих дней со дня поступления в КУМИ Сосьвинского городского округа заявки на субаренду.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4. КУМИ Сосьвинского городского округа отказывает в предоставлении согласия на передачу объекта (части объекта) в субаренду в следующих случаях: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1) заключение договора с субарендатором невозможно без проведения реконструкции объекта;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2) деятельность субарендатора не соответствует видам разрешенного использования объекта;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3) срок действия договора субаренды, предложенный арендатором, превышает срок действия договора аренды муниципального имущества.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5. Срок предоставления права на передачу объекта (части объекта) в субаренду не может превышать срока действия договора аренды муниципального имущества.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6. За передачу Объекта в субаренду без получения права на передачу Объекта (части Объекта) в субаренду, либо за нарушение требований по использованию Объекта, сданного в субаренду, арендатор несет ответственность, предусмотренную действующим гражданским законодательством РФ и договором аренды.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</w:pPr>
    </w:p>
    <w:p w:rsidR="00595E94" w:rsidRDefault="00595E94">
      <w:pPr>
        <w:pStyle w:val="ConsPlusNormal"/>
      </w:pPr>
    </w:p>
    <w:p w:rsidR="00595E94" w:rsidRDefault="00595E94">
      <w:pPr>
        <w:pStyle w:val="ConsPlusNormal"/>
      </w:pPr>
    </w:p>
    <w:p w:rsidR="00595E94" w:rsidRDefault="00595E94">
      <w:pPr>
        <w:pStyle w:val="ConsPlusNormal"/>
      </w:pPr>
    </w:p>
    <w:p w:rsidR="00595E94" w:rsidRDefault="00595E94">
      <w:pPr>
        <w:pStyle w:val="ConsPlusNormal"/>
        <w:jc w:val="right"/>
        <w:outlineLvl w:val="1"/>
      </w:pPr>
      <w:r>
        <w:t>Приложение N 1</w:t>
      </w:r>
    </w:p>
    <w:p w:rsidR="00595E94" w:rsidRDefault="00595E94">
      <w:pPr>
        <w:pStyle w:val="ConsPlusNormal"/>
        <w:jc w:val="right"/>
      </w:pPr>
      <w:r>
        <w:t>к Положению</w:t>
      </w:r>
    </w:p>
    <w:p w:rsidR="00595E94" w:rsidRDefault="00595E94">
      <w:pPr>
        <w:pStyle w:val="ConsPlusNormal"/>
        <w:jc w:val="right"/>
      </w:pPr>
      <w:r>
        <w:t>"О передаче в аренду объектов</w:t>
      </w:r>
    </w:p>
    <w:p w:rsidR="00595E94" w:rsidRDefault="00595E94">
      <w:pPr>
        <w:pStyle w:val="ConsPlusNormal"/>
        <w:jc w:val="right"/>
      </w:pPr>
      <w:r>
        <w:t>муниципального нежилого фонда</w:t>
      </w:r>
    </w:p>
    <w:p w:rsidR="00595E94" w:rsidRDefault="00595E94">
      <w:pPr>
        <w:pStyle w:val="ConsPlusNormal"/>
        <w:jc w:val="right"/>
      </w:pPr>
      <w:r>
        <w:t>Сосьвинского городского округа"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jc w:val="center"/>
      </w:pPr>
      <w:bookmarkStart w:id="4" w:name="P139"/>
      <w:bookmarkEnd w:id="4"/>
      <w:r>
        <w:t>КОРРЕКТИРОВОЧНЫЕ КОЭФФИЦИЕНТЫ</w:t>
      </w:r>
    </w:p>
    <w:p w:rsidR="00595E94" w:rsidRDefault="00595E94">
      <w:pPr>
        <w:pStyle w:val="ConsPlusNormal"/>
        <w:jc w:val="center"/>
      </w:pPr>
      <w:r>
        <w:t>К БАЗОВОЙ СТАВКЕ АРЕНДНОЙ ПЛАТЫ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jc w:val="center"/>
        <w:outlineLvl w:val="2"/>
      </w:pPr>
      <w:r>
        <w:t>1. КОЭФФИЦИЕНТ ВИДА ДЕЯТЕЛЬНОСТИ (К</w:t>
      </w:r>
      <w:proofErr w:type="gramStart"/>
      <w:r>
        <w:t>1</w:t>
      </w:r>
      <w:proofErr w:type="gramEnd"/>
      <w:r>
        <w:t>)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 xml:space="preserve">(Виды деятельности, согласно "Общероссийскому </w:t>
      </w:r>
      <w:hyperlink r:id="rId19" w:history="1">
        <w:r>
          <w:rPr>
            <w:color w:val="0000FF"/>
          </w:rPr>
          <w:t>классификатору</w:t>
        </w:r>
      </w:hyperlink>
      <w:r>
        <w:t xml:space="preserve"> услуг населению", утвержденного Постановлением Госстандарта РФ от 28.06.1993 N 163)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>1.1. Ремонт и пошив швейный, меховых и кожаных изделий, головных уборов и изделий, текстильной галантереи, ремонт, пошив и вязание трикотажных изделий - 0,5.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1.2. Ремонт и техническое обслуживание бытовой радиоэлектронной аппаратуры, бытовых машин и бытовых приборов, ремонт и изготовление металлоизделий - 0,4.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1.3. Услуги бань и душевых, парикмахерских. Услуги предприятий по прокату. Ритуальные, обрядовые услуги - 0,4.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lastRenderedPageBreak/>
        <w:t>1.4. Услуги телефонной связи - 1,4.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1.5. Услуги телеграфной связи - 1,4.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1.6. Услуги водоснабжения, услуги отопления - 0,15.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1.7. Предоставление объектов физической культуры и спорта для населения - 0,5.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1.8. Услуги, оказываемые органами государственного управления, и услуги, оказываемые адвокатурой - 0,9.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1.9. Услуги банков - 2,0.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1.10. Услуги торговли (торговля смешанными товарами) - 2,0.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1.11. Услуги торговли (торговля промышленными товарами) - 1,0.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1.12. Услуги торговли (торговля продовольственными товарами) - 1,5.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1.13. Услуги общественного питания - 0,6.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1.14. Производство и реализация строительных материалов - 0,9.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1.15. Деятельность аптек - 2,5.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1.16. Жилищные услуги, услуги коммунальных гостиниц и прочих коммунальных мест проживания - 0,5.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К видам деятельности не вошедшим в настоящий перечень применяется, К</w:t>
      </w:r>
      <w:proofErr w:type="gramStart"/>
      <w:r>
        <w:t>1</w:t>
      </w:r>
      <w:proofErr w:type="gramEnd"/>
      <w:r>
        <w:t xml:space="preserve"> - 1,0.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jc w:val="center"/>
        <w:outlineLvl w:val="2"/>
      </w:pPr>
      <w:r>
        <w:t>2. КОЭФФИЦИЕНТ УЧЕТА МАТЕРИАЛОВ СТЕН (К</w:t>
      </w:r>
      <w:proofErr w:type="gramStart"/>
      <w:r>
        <w:t>2</w:t>
      </w:r>
      <w:proofErr w:type="gramEnd"/>
      <w:r>
        <w:t>)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>1,6 - в кирпичных зданиях;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1,5 - в панельных зданиях;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1,4 - в деревянных зданиях;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1,3 - в шлакоблочных зданиях;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1,2 - в зданиях с использованием нескольких материалов.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jc w:val="center"/>
        <w:outlineLvl w:val="2"/>
      </w:pPr>
      <w:r>
        <w:t>3. КОЭФФИЦИЕНТ КАЧЕСТВА НЕЖИЛОГО ПОМЕЩЕНИЯ (К3)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>К3 = (3.1+ 3.2 + 3.3 + 3.4 + 3.5).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>3.1. Расположение помещения: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надземная встроенно-пристроенная часть - 0,5;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чердак (мансарда) - 0,3;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полуподвал - 0,3;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подвал - 0,2.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Примечание: Для предприятий торговли, общественного питания и бытового обслуживания - 0,32.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>3.2. Степень технического обустройства: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1,0 - при наличии всех видов благоустройства - (отопление, горячее водоснабжение, холодное водоснабжение, канализация, освещение);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при отсутствии одного из перечисленных видов благоустройства коэффициент снижается на 20%.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>3.3. Высота потолков в помещении: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0,7 - свыше 3,0 м;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0,4 - от 2,6 м до 3,0 м;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0,2 - менее 2,6 м.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>3.4. Эффективность коммерческого использования: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0,5 - объект находится в пределах рабочего поселка Сосьва;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0,3 - объект находится в иных населенных пунктах на территории Сосьвинского городского округа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2,0 - объект расположен на территории других муниципальных образований.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jc w:val="center"/>
        <w:outlineLvl w:val="2"/>
      </w:pPr>
      <w:r>
        <w:t>4. КОЭФФИЦИЕНТ ИЗНОСА (К</w:t>
      </w:r>
      <w:proofErr w:type="gramStart"/>
      <w:r>
        <w:t>4</w:t>
      </w:r>
      <w:proofErr w:type="gramEnd"/>
      <w:r>
        <w:t>)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>К</w:t>
      </w:r>
      <w:proofErr w:type="gramStart"/>
      <w:r>
        <w:t>4</w:t>
      </w:r>
      <w:proofErr w:type="gramEnd"/>
      <w:r>
        <w:t xml:space="preserve"> - (100% - % износа): 100%.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jc w:val="center"/>
        <w:outlineLvl w:val="2"/>
      </w:pPr>
      <w:r>
        <w:t>5. КОЭФФИЦИЕНТ УЧЕТА УДОБСТВ ПОЛЬЗОВАНИЯ (К5)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  <w:ind w:firstLine="540"/>
        <w:jc w:val="both"/>
      </w:pPr>
      <w:r>
        <w:t>Для арендаторов, имеющих отдельный вход в Объект - 1,6;</w:t>
      </w:r>
    </w:p>
    <w:p w:rsidR="00595E94" w:rsidRDefault="00595E94">
      <w:pPr>
        <w:pStyle w:val="ConsPlusNormal"/>
        <w:spacing w:before="220"/>
        <w:ind w:firstLine="540"/>
        <w:jc w:val="both"/>
      </w:pPr>
      <w:r>
        <w:t>Для арендаторов, занимающих отдельно стоящий Объект - 2,1.</w:t>
      </w:r>
    </w:p>
    <w:p w:rsidR="00595E94" w:rsidRDefault="00595E94">
      <w:pPr>
        <w:pStyle w:val="ConsPlusNormal"/>
      </w:pPr>
    </w:p>
    <w:p w:rsidR="00595E94" w:rsidRDefault="00595E94">
      <w:pPr>
        <w:pStyle w:val="ConsPlusNormal"/>
      </w:pPr>
    </w:p>
    <w:p w:rsidR="00595E94" w:rsidRDefault="00595E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FBA" w:rsidRDefault="00595E94"/>
    <w:sectPr w:rsidR="00C70FBA" w:rsidSect="006E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5E94"/>
    <w:rsid w:val="000633FB"/>
    <w:rsid w:val="00595E94"/>
    <w:rsid w:val="00803DB3"/>
    <w:rsid w:val="00B7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7E615C60418B52C9EB1DA7680E131CF2E789C96892422EA7A5737B1E7CF1C6F70EF2ADB0FB19A10B2CE47258A28E1Y5DCM" TargetMode="External"/><Relationship Id="rId13" Type="http://schemas.openxmlformats.org/officeDocument/2006/relationships/hyperlink" Target="consultantplus://offline/ref=1517E615C60418B52C9EAFD760ECBF3BCD2124919D8A2F75B7250C6AE6EEC54B283FB67A9F5AB99219A79A147FDD25E25C5781BDD4CF8367YCDFM" TargetMode="External"/><Relationship Id="rId18" Type="http://schemas.openxmlformats.org/officeDocument/2006/relationships/hyperlink" Target="consultantplus://offline/ref=1517E615C60418B52C9EAFD760ECBF3BCD2521959A882F75B7250C6AE6EEC54B3A3FEE769E5AA29B12B2CC4539Y8D8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517E615C60418B52C9EB1DA7680E131CF2E789C968F2022E27A5737B1E7CF1C6F70EF2ADB0FB19A10B2CE47258A28E1Y5DCM" TargetMode="External"/><Relationship Id="rId12" Type="http://schemas.openxmlformats.org/officeDocument/2006/relationships/hyperlink" Target="consultantplus://offline/ref=1517E615C60418B52C9EAFD760ECBF3BCD2726959A8C2F75B7250C6AE6EEC54B283FB67A9F5AB49810A79A147FDD25E25C5781BDD4CF8367YCDFM" TargetMode="External"/><Relationship Id="rId17" Type="http://schemas.openxmlformats.org/officeDocument/2006/relationships/hyperlink" Target="consultantplus://offline/ref=1517E615C60418B52C9EAFD760ECBF3BCD2124919D8A2F75B7250C6AE6EEC54B283FB67A9F5AB99219A79A147FDD25E25C5781BDD4CF8367YCD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17E615C60418B52C9EAFD760ECBF3BCD2521959A882F75B7250C6AE6EEC54B283FB67F940EEDDF45A1CF4525882AFD5E4983YBDF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17E615C60418B52C9EB1DA7680E131CF2E789C9D8F2D22E8720A3DB9BEC31E687FB02FDC1EB19A10ACC84C33837CB2181C8CBECAD38367D1BE9599Y9D4M" TargetMode="External"/><Relationship Id="rId11" Type="http://schemas.openxmlformats.org/officeDocument/2006/relationships/hyperlink" Target="consultantplus://offline/ref=1517E615C60418B52C9EB1DA7680E131CF2E789C9D8F2D22E8720A3DB9BEC31E687FB02FDC1EB19A10ADCC4D32837CB2181C8CBECAD38367D1BE9599Y9D4M" TargetMode="External"/><Relationship Id="rId5" Type="http://schemas.openxmlformats.org/officeDocument/2006/relationships/hyperlink" Target="consultantplus://offline/ref=1517E615C60418B52C9EB1DA7680E131CF2E789C9D8F2D22E8720A3DB9BEC31E687FB02FDC1EB19A10ACCC4D3F837CB2181C8CBECAD38367D1BE9599Y9D4M" TargetMode="External"/><Relationship Id="rId15" Type="http://schemas.openxmlformats.org/officeDocument/2006/relationships/hyperlink" Target="consultantplus://offline/ref=1517E615C60418B52C9EAFD760ECBF3BCD2521959A882F75B7250C6AE6EEC54B3A3FEE769E5AA29B12B2CC4539Y8D8M" TargetMode="External"/><Relationship Id="rId10" Type="http://schemas.openxmlformats.org/officeDocument/2006/relationships/hyperlink" Target="consultantplus://offline/ref=1517E615C60418B52C9EB1DA7680E131CF2E789C968F2627E27A5737B1E7CF1C6F70EF2ADB0FB19A10B2CE47258A28E1Y5DCM" TargetMode="External"/><Relationship Id="rId19" Type="http://schemas.openxmlformats.org/officeDocument/2006/relationships/hyperlink" Target="consultantplus://offline/ref=1517E615C60418B52C9EAFD760ECBF3BCF202E969A8C2F75B7250C6AE6EEC54B3A3FEE769E5AA29B12B2CC4539Y8D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17E615C60418B52C9EB1DA7680E131CF2E789C96892422EF7A5737B1E7CF1C6F70EF2ADB0FB19A10B2CE47258A28E1Y5DCM" TargetMode="External"/><Relationship Id="rId14" Type="http://schemas.openxmlformats.org/officeDocument/2006/relationships/hyperlink" Target="consultantplus://offline/ref=1517E615C60418B52C9EAFD760ECBF3BCD2124919D8A2F75B7250C6AE6EEC54B283FB67A9F5AB99219A79A147FDD25E25C5781BDD4CF8367YC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2884</Words>
  <Characters>16441</Characters>
  <Application>Microsoft Office Word</Application>
  <DocSecurity>0</DocSecurity>
  <Lines>137</Lines>
  <Paragraphs>38</Paragraphs>
  <ScaleCrop>false</ScaleCrop>
  <Company/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Brusenkova</dc:creator>
  <cp:lastModifiedBy>Brusenkova</cp:lastModifiedBy>
  <cp:revision>1</cp:revision>
  <dcterms:created xsi:type="dcterms:W3CDTF">2020-02-10T12:03:00Z</dcterms:created>
  <dcterms:modified xsi:type="dcterms:W3CDTF">2020-02-10T12:03:00Z</dcterms:modified>
</cp:coreProperties>
</file>