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6B" w:rsidRDefault="00491B6B" w:rsidP="00491B6B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В ЕГРН содержатся сведения о 36,5 % границ населенных пунктов Свердловской области</w:t>
      </w:r>
    </w:p>
    <w:p w:rsidR="00491B6B" w:rsidRDefault="00491B6B" w:rsidP="00491B6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В Федеральной Кадастровой палате по </w:t>
      </w:r>
      <w:r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D56D04">
        <w:rPr>
          <w:rFonts w:ascii="Segoe UI" w:hAnsi="Segoe UI" w:cs="Segoe UI"/>
          <w:sz w:val="28"/>
          <w:szCs w:val="28"/>
        </w:rPr>
        <w:t xml:space="preserve"> идет активная работа по внедрению в области целевой модели «Постановка на кадастровый учет земельных участков и объектов недвижимого имущества» («дорожная карта»). </w:t>
      </w:r>
    </w:p>
    <w:p w:rsidR="00DD6650" w:rsidRDefault="00DD6650" w:rsidP="00491B6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491B6B" w:rsidRPr="00D56D04" w:rsidRDefault="00491B6B" w:rsidP="00491B6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Мероприятия «дорожной карты» направлены на совершенствование процедур предоставления государственных услуг в сфере государственного кадастрового учёта недвижимого имущества и государственной регистрации прав заявителям; переход к ведению государственного кадастра недвижимости и Единого государственного реестра прав на недвижимое имущество и сделок с ним в электронном виде и оптимизацию внутриведомственных процедур; повышение качества сведений о недвижимом имуществе, содержащихся в ЕГРН и информированности общества об услугах Росреестра. </w:t>
      </w:r>
    </w:p>
    <w:p w:rsidR="00DD6650" w:rsidRDefault="00DD6650" w:rsidP="00491B6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491B6B" w:rsidRPr="00D56D04" w:rsidRDefault="00491B6B" w:rsidP="00491B6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Достижение показателей «дорожных карт» по внедрению целевых моделей в сфере постановки на кадастровый учет земельных участков и объектов недвижимости на данный момент является одной из приоритетных задач Кадастровой палаты. На постоянной основе осуществляется мониторинг внедрения и исполнения «дорожных карт». </w:t>
      </w:r>
    </w:p>
    <w:p w:rsidR="00491B6B" w:rsidRDefault="00491B6B" w:rsidP="00491B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6650" w:rsidRDefault="00491B6B" w:rsidP="00DD6650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соответствии с законодательством функции по установлению границ населенных пунктов возложены на органы местного самоуправления. </w:t>
      </w:r>
      <w:proofErr w:type="spellStart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вносит в ЕГРН сведения о таких границах в порядке межведомственного информационного взаимодействия.</w:t>
      </w:r>
      <w:r w:rsidRPr="00491B6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:rsidR="00DD6650" w:rsidRDefault="00DD6650" w:rsidP="00DD6650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и земельными ресурсами регионов.</w:t>
      </w:r>
    </w:p>
    <w:p w:rsidR="00491B6B" w:rsidRDefault="00491B6B" w:rsidP="00491B6B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состоянию на 1 января 2020 года в ЕГРН внесены сведения о 1214 границах населенных пунктов, что составляет 65,2 % от общего их количества. По состоянию на 01.06.2020 процент выполнения данного показателя составляет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70,5% (внесено 1307 границ). Всего границ населенных пунктов в Свердловской области – 1 855.</w:t>
      </w:r>
    </w:p>
    <w:p w:rsidR="00491B6B" w:rsidRDefault="00491B6B" w:rsidP="00491B6B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состоянию на 1 января 2020 года в ЕГРН внесены сведения о 5217 границах территориальных зон. Количество </w:t>
      </w:r>
      <w:r w:rsidR="00DD66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территориальных зон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внесенных в ЕГРН, за первую половину 2020 год составило </w:t>
      </w:r>
      <w:r w:rsidR="00DD66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2525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По состоянию на 01.06.2020 процент выполнения данного показателя составляет </w:t>
      </w:r>
      <w:r w:rsidR="00DD66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54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</w:t>
      </w:r>
      <w:r w:rsidR="00DD66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% (внесено </w:t>
      </w:r>
      <w:r w:rsidR="00DD665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7742 территориальные зоны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). </w:t>
      </w:r>
    </w:p>
    <w:p w:rsidR="00491B6B" w:rsidRDefault="00491B6B" w:rsidP="00491B6B">
      <w:pPr>
        <w:spacing w:after="240" w:line="270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</w:rPr>
        <w:t xml:space="preserve"> «</w:t>
      </w:r>
      <w:r w:rsidR="00DD6650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>лаженн</w:t>
      </w:r>
      <w:r w:rsidR="00DD6650">
        <w:rPr>
          <w:rFonts w:ascii="Segoe UI" w:hAnsi="Segoe UI" w:cs="Segoe UI"/>
          <w:sz w:val="28"/>
          <w:szCs w:val="28"/>
        </w:rPr>
        <w:t>ая</w:t>
      </w:r>
      <w:r>
        <w:rPr>
          <w:rFonts w:ascii="Segoe UI" w:hAnsi="Segoe UI" w:cs="Segoe UI"/>
          <w:sz w:val="28"/>
          <w:szCs w:val="28"/>
        </w:rPr>
        <w:t xml:space="preserve"> работ</w:t>
      </w:r>
      <w:r w:rsidR="00DD6650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 специалистов Кадастровой палаты и представителей местных администраций </w:t>
      </w:r>
      <w:r w:rsidR="00DD6650">
        <w:rPr>
          <w:rFonts w:ascii="Segoe UI" w:hAnsi="Segoe UI" w:cs="Segoe UI"/>
          <w:sz w:val="28"/>
          <w:szCs w:val="28"/>
        </w:rPr>
        <w:t>по у</w:t>
      </w:r>
      <w:r w:rsidR="00DD6650" w:rsidRPr="00DD6650">
        <w:rPr>
          <w:rFonts w:ascii="Segoe UI" w:hAnsi="Segoe UI" w:cs="Segoe UI"/>
          <w:sz w:val="28"/>
          <w:szCs w:val="28"/>
        </w:rPr>
        <w:t>становлени</w:t>
      </w:r>
      <w:r w:rsidR="00DD6650">
        <w:rPr>
          <w:rFonts w:ascii="Segoe UI" w:hAnsi="Segoe UI" w:cs="Segoe UI"/>
          <w:sz w:val="28"/>
          <w:szCs w:val="28"/>
        </w:rPr>
        <w:t>ю</w:t>
      </w:r>
      <w:r w:rsidR="00DD6650" w:rsidRPr="00DD6650">
        <w:rPr>
          <w:rFonts w:ascii="Segoe UI" w:hAnsi="Segoe UI" w:cs="Segoe UI"/>
          <w:sz w:val="28"/>
          <w:szCs w:val="28"/>
        </w:rPr>
        <w:t xml:space="preserve"> границ территориальных зон и населенных пунктов позволит повысить инвестиционную привлекательность региона и конкретных территорий. Наличие в ЕГРН сведений о вышеуказанных границах даёт возможность более эффективно решать задачи в сфере государственной кадастровой оценки, сокращения сроков осуществления государственного кадастрового учета, и государственной регистрации прав. В целом делает более прозрачной перспективу использования земельных участков как предпринимателями, так и гражданами</w:t>
      </w:r>
      <w:r w:rsidR="00DD6650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 xml:space="preserve">, - отметил директор Кадастровой палаты по Уральскому федеральному округу Рафаэль </w:t>
      </w:r>
      <w:proofErr w:type="spellStart"/>
      <w:r>
        <w:rPr>
          <w:rFonts w:ascii="Segoe UI" w:hAnsi="Segoe UI" w:cs="Segoe UI"/>
          <w:sz w:val="28"/>
          <w:szCs w:val="28"/>
        </w:rPr>
        <w:t>Лутфуллин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</w:p>
    <w:p w:rsidR="00DD6650" w:rsidRDefault="00DD6650" w:rsidP="00491B6B">
      <w:pPr>
        <w:spacing w:after="240" w:line="270" w:lineRule="atLeast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6650" w:rsidRDefault="00DD6650" w:rsidP="00491B6B">
      <w:pPr>
        <w:spacing w:after="240" w:line="270" w:lineRule="atLeast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491B6B" w:rsidRDefault="00491B6B" w:rsidP="00491B6B">
      <w:pPr>
        <w:spacing w:after="240" w:line="270" w:lineRule="atLeast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филиал ФГБУ «ФКП Росреестра» по УФО</w:t>
      </w:r>
    </w:p>
    <w:p w:rsidR="0077582A" w:rsidRPr="00B71BBC" w:rsidRDefault="0077582A" w:rsidP="00491B6B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sectPr w:rsidR="0077582A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45E"/>
    <w:rsid w:val="001F3707"/>
    <w:rsid w:val="00207AE1"/>
    <w:rsid w:val="002A3710"/>
    <w:rsid w:val="002D2421"/>
    <w:rsid w:val="002E04A2"/>
    <w:rsid w:val="00376519"/>
    <w:rsid w:val="00414F82"/>
    <w:rsid w:val="00491B6B"/>
    <w:rsid w:val="004D41CB"/>
    <w:rsid w:val="005464DE"/>
    <w:rsid w:val="00593BB4"/>
    <w:rsid w:val="00603A7B"/>
    <w:rsid w:val="00655D43"/>
    <w:rsid w:val="006920AC"/>
    <w:rsid w:val="006E07CC"/>
    <w:rsid w:val="007671CE"/>
    <w:rsid w:val="0077582A"/>
    <w:rsid w:val="008409CE"/>
    <w:rsid w:val="00844908"/>
    <w:rsid w:val="0087156B"/>
    <w:rsid w:val="008F6D36"/>
    <w:rsid w:val="008F709D"/>
    <w:rsid w:val="009441EB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D6650"/>
    <w:rsid w:val="00DF063B"/>
    <w:rsid w:val="00DF5C4E"/>
    <w:rsid w:val="00E3017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B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7758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1"/>
    <w:link w:val="af0"/>
    <w:uiPriority w:val="99"/>
    <w:semiHidden/>
    <w:rsid w:val="007758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2</cp:revision>
  <dcterms:created xsi:type="dcterms:W3CDTF">2020-06-22T04:57:00Z</dcterms:created>
  <dcterms:modified xsi:type="dcterms:W3CDTF">2020-06-22T04:57:00Z</dcterms:modified>
</cp:coreProperties>
</file>